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BA" w:rsidRPr="001B50BA" w:rsidRDefault="001B50BA" w:rsidP="001B50BA">
      <w:pPr>
        <w:shd w:val="clear" w:color="auto" w:fill="FFFFFF"/>
        <w:spacing w:after="95" w:line="240" w:lineRule="auto"/>
        <w:jc w:val="center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1B50BA">
        <w:rPr>
          <w:rFonts w:ascii="Adelle" w:eastAsia="Times New Roman" w:hAnsi="Adelle" w:cs="Tahoma"/>
          <w:b/>
          <w:bCs/>
          <w:color w:val="333333"/>
          <w:sz w:val="13"/>
          <w:lang w:eastAsia="ru-RU"/>
        </w:rPr>
        <w:t>План реализации в 2021 г.</w:t>
      </w:r>
      <w:r w:rsidRPr="001B50BA">
        <w:rPr>
          <w:rFonts w:ascii="Adelle" w:eastAsia="Times New Roman" w:hAnsi="Adelle" w:cs="Tahoma"/>
          <w:b/>
          <w:bCs/>
          <w:color w:val="333333"/>
          <w:sz w:val="13"/>
          <w:szCs w:val="13"/>
          <w:lang w:eastAsia="ru-RU"/>
        </w:rPr>
        <w:br/>
      </w:r>
      <w:r w:rsidRPr="001B50BA">
        <w:rPr>
          <w:rFonts w:ascii="Adelle" w:eastAsia="Times New Roman" w:hAnsi="Adelle" w:cs="Tahoma"/>
          <w:b/>
          <w:bCs/>
          <w:color w:val="333333"/>
          <w:sz w:val="13"/>
          <w:lang w:eastAsia="ru-RU"/>
        </w:rPr>
        <w:t xml:space="preserve">в </w:t>
      </w:r>
      <w:proofErr w:type="spellStart"/>
      <w:r w:rsidRPr="001B50BA">
        <w:rPr>
          <w:rFonts w:ascii="Adelle" w:eastAsia="Times New Roman" w:hAnsi="Adelle" w:cs="Tahoma"/>
          <w:b/>
          <w:bCs/>
          <w:color w:val="333333"/>
          <w:sz w:val="13"/>
          <w:lang w:eastAsia="ru-RU"/>
        </w:rPr>
        <w:t>Добрянском</w:t>
      </w:r>
      <w:proofErr w:type="spellEnd"/>
      <w:r w:rsidRPr="001B50BA">
        <w:rPr>
          <w:rFonts w:ascii="Adelle" w:eastAsia="Times New Roman" w:hAnsi="Adelle" w:cs="Tahoma"/>
          <w:b/>
          <w:bCs/>
          <w:color w:val="333333"/>
          <w:sz w:val="13"/>
          <w:lang w:eastAsia="ru-RU"/>
        </w:rPr>
        <w:t xml:space="preserve"> городском округе мероприятий «Комплексного плана противодействия идеологии терроризма</w:t>
      </w:r>
      <w:r w:rsidRPr="001B50BA">
        <w:rPr>
          <w:rFonts w:ascii="Adelle" w:eastAsia="Times New Roman" w:hAnsi="Adelle" w:cs="Tahoma"/>
          <w:b/>
          <w:bCs/>
          <w:color w:val="333333"/>
          <w:sz w:val="13"/>
          <w:szCs w:val="13"/>
          <w:lang w:eastAsia="ru-RU"/>
        </w:rPr>
        <w:br/>
      </w:r>
      <w:r w:rsidRPr="001B50BA">
        <w:rPr>
          <w:rFonts w:ascii="Adelle" w:eastAsia="Times New Roman" w:hAnsi="Adelle" w:cs="Tahoma"/>
          <w:b/>
          <w:bCs/>
          <w:color w:val="333333"/>
          <w:sz w:val="13"/>
          <w:lang w:eastAsia="ru-RU"/>
        </w:rPr>
        <w:t>в Российской Федерации на 2019-2023 годы»</w:t>
      </w:r>
    </w:p>
    <w:p w:rsidR="001B50BA" w:rsidRPr="001B50BA" w:rsidRDefault="001B50BA" w:rsidP="001B50BA">
      <w:pPr>
        <w:shd w:val="clear" w:color="auto" w:fill="FFFFFF"/>
        <w:spacing w:after="95" w:line="240" w:lineRule="auto"/>
        <w:jc w:val="center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1B50BA">
        <w:rPr>
          <w:rFonts w:ascii="Adelle" w:eastAsia="Times New Roman" w:hAnsi="Adelle" w:cs="Tahoma"/>
          <w:b/>
          <w:bCs/>
          <w:color w:val="333333"/>
          <w:sz w:val="13"/>
          <w:lang w:eastAsia="ru-RU"/>
        </w:rPr>
        <w:t>(</w:t>
      </w:r>
      <w:proofErr w:type="gramStart"/>
      <w:r w:rsidRPr="001B50BA">
        <w:rPr>
          <w:rFonts w:ascii="Adelle" w:eastAsia="Times New Roman" w:hAnsi="Adelle" w:cs="Tahoma"/>
          <w:b/>
          <w:bCs/>
          <w:color w:val="333333"/>
          <w:sz w:val="13"/>
          <w:lang w:eastAsia="ru-RU"/>
        </w:rPr>
        <w:t>утвержден</w:t>
      </w:r>
      <w:proofErr w:type="gramEnd"/>
      <w:r w:rsidRPr="001B50BA">
        <w:rPr>
          <w:rFonts w:ascii="Adelle" w:eastAsia="Times New Roman" w:hAnsi="Adelle" w:cs="Tahoma"/>
          <w:b/>
          <w:bCs/>
          <w:color w:val="333333"/>
          <w:sz w:val="13"/>
          <w:lang w:eastAsia="ru-RU"/>
        </w:rPr>
        <w:t xml:space="preserve"> на совместном заседании АТК 12.03.2021)</w:t>
      </w:r>
    </w:p>
    <w:p w:rsidR="001B50BA" w:rsidRPr="001B50BA" w:rsidRDefault="001B50BA" w:rsidP="001B50BA">
      <w:pPr>
        <w:shd w:val="clear" w:color="auto" w:fill="FFFFFF"/>
        <w:spacing w:after="95" w:line="240" w:lineRule="auto"/>
        <w:jc w:val="center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1B50BA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 </w:t>
      </w:r>
    </w:p>
    <w:tbl>
      <w:tblPr>
        <w:tblW w:w="9853" w:type="dxa"/>
        <w:tblBorders>
          <w:top w:val="single" w:sz="4" w:space="0" w:color="D5D5D5"/>
          <w:left w:val="single" w:sz="4" w:space="0" w:color="D5D5D5"/>
          <w:bottom w:val="single" w:sz="4" w:space="0" w:color="D5D5D5"/>
          <w:right w:val="single" w:sz="4" w:space="0" w:color="D5D5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1"/>
        <w:gridCol w:w="3627"/>
        <w:gridCol w:w="1560"/>
        <w:gridCol w:w="2605"/>
      </w:tblGrid>
      <w:tr w:rsidR="001B50BA" w:rsidRPr="001B50BA" w:rsidTr="001B50BA">
        <w:trPr>
          <w:tblHeader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99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FFFFFF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color w:val="FFFFFF"/>
                <w:sz w:val="13"/>
                <w:lang w:eastAsia="ru-RU"/>
              </w:rPr>
              <w:t xml:space="preserve">№ </w:t>
            </w:r>
            <w:proofErr w:type="spellStart"/>
            <w:proofErr w:type="gramStart"/>
            <w:r w:rsidRPr="001B50BA">
              <w:rPr>
                <w:rFonts w:ascii="Adelle" w:eastAsia="Times New Roman" w:hAnsi="Adelle" w:cs="Tahoma"/>
                <w:b/>
                <w:bCs/>
                <w:color w:val="FFFFFF"/>
                <w:sz w:val="13"/>
                <w:lang w:eastAsia="ru-RU"/>
              </w:rPr>
              <w:t>п</w:t>
            </w:r>
            <w:proofErr w:type="spellEnd"/>
            <w:proofErr w:type="gramEnd"/>
            <w:r w:rsidRPr="001B50BA">
              <w:rPr>
                <w:rFonts w:ascii="Adelle" w:eastAsia="Times New Roman" w:hAnsi="Adelle" w:cs="Tahoma"/>
                <w:b/>
                <w:bCs/>
                <w:color w:val="FFFFFF"/>
                <w:sz w:val="13"/>
                <w:lang w:eastAsia="ru-RU"/>
              </w:rPr>
              <w:t>/</w:t>
            </w:r>
            <w:proofErr w:type="spellStart"/>
            <w:r w:rsidRPr="001B50BA">
              <w:rPr>
                <w:rFonts w:ascii="Adelle" w:eastAsia="Times New Roman" w:hAnsi="Adelle" w:cs="Tahoma"/>
                <w:b/>
                <w:bCs/>
                <w:color w:val="FFFFFF"/>
                <w:sz w:val="13"/>
                <w:lang w:eastAsia="ru-RU"/>
              </w:rPr>
              <w:t>п</w:t>
            </w:r>
            <w:proofErr w:type="spellEnd"/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99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FFFFFF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color w:val="FFFFFF"/>
                <w:sz w:val="13"/>
                <w:lang w:eastAsia="ru-RU"/>
              </w:rPr>
              <w:t>Мероприятия по противодействию идеологии терроризма</w:t>
            </w:r>
          </w:p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FFFFFF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color w:val="FFFFFF"/>
                <w:sz w:val="13"/>
                <w:lang w:eastAsia="ru-RU"/>
              </w:rPr>
              <w:t>(нумерация указана в соответствии с Комплексным планом)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99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FFFFFF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color w:val="FFFFFF"/>
                <w:sz w:val="13"/>
                <w:lang w:eastAsia="ru-RU"/>
              </w:rPr>
              <w:t>Срок исполнения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99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FFFFFF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color w:val="FFFFFF"/>
                <w:sz w:val="13"/>
                <w:lang w:eastAsia="ru-RU"/>
              </w:rPr>
              <w:t>Исполнители мероприятия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1.</w:t>
            </w:r>
            <w:r w:rsidRPr="001B50BA">
              <w:rPr>
                <w:rFonts w:ascii="Adelle" w:eastAsia="Times New Roman" w:hAnsi="Adelle" w:cs="Tahoma"/>
                <w:b/>
                <w:bCs/>
                <w:color w:val="333333"/>
                <w:sz w:val="13"/>
                <w:lang w:eastAsia="ru-RU"/>
              </w:rPr>
              <w:t>  Профилактическая работа с лицами, подверженными воздействию идеологии терроризма, а также подпавшими под ее влияние</w:t>
            </w:r>
          </w:p>
          <w:p w:rsidR="001B50BA" w:rsidRPr="001B50BA" w:rsidRDefault="001B50BA" w:rsidP="001B50BA">
            <w:pPr>
              <w:spacing w:before="100" w:beforeAutospacing="1" w:after="100" w:afterAutospacing="1" w:line="240" w:lineRule="auto"/>
              <w:ind w:left="1080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пункта 1.1. Комплексного плана: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Организовать учет лиц, отбывших наказание за террористическую (экстремистскую) деятельность, их родственников, а также членов семей российских граждан, принимавших участие в вооруженных конфликтах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br/>
              <w:t xml:space="preserve">за рубежом, нуждающихся в социальной поддержке, реабилитации и социальной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реинтеграции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и проживающих в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Добрянском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городском округе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 доклад о промежуточных результатах  до 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ФКУ УИИ ГУФСИН России по Пермскому краю, филиал по ДГО (по согласованию);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ГКУ «Центр занятости населения Пермского края территориальный отдел по городу Добрянке» (по согласованию);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ТУ по Пермскому и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Добрянскому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районам МСР ПК (по согласованию);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жилищно-коммунальному хозяйству и благоустройству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социального развития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На основании информации из ФКУ УИИ организация адресной поддержки - по необходимости обеспечение одеждой, продуктами питания, единовременным денежным пособием и временным жильем.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Управление социального развития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Пикулева</w:t>
            </w:r>
            <w:proofErr w:type="spell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Н.А.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Осуществить мероприятия по социальной поддержке, реабилитации и социальной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реинтеграции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лиц, отбывших наказание за совершение преступлений террористического характера, оказанию содействия в трудоустройстве, получении медицинской помощи, оформлении (восстановлении) документов и т.д.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 доклад о промежуточных результатах  до 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ФКУ УИИ ГУФСИН России по Пермскому краю, филиал по ДГО (по согласованию);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ОМВД России по ДГО (по согласованию);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ТУ по Пермскому и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Добрянскому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районам МСР ПК (по согласованию);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жилищно-коммунальному хозяйству и благоустройству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ГКУ «Центр занятости населения Пермского края территориальный отдел по городу Добрянке» (по согласованию).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На основании информации из ФКУ УИИ организация адресной поддержки по организации профессиональной переподготовки осужденного.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ГКУ «Центр занятости населения Пермского края территориальный отдел по городу Добрянке» (по согласованию)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пункта 1.3. Комплексного плана: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Провести с лицами, отбывающими наказание за совершение преступлений террористического характера, в том числе не связанное с лишением свободы, индивидуальные профилактические беседы с привлечением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деятельности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 доклад о промежуточных результатах 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Отдел по связям с общественностью и СМИ во взаимодействии с ФКУ УИИ ГУФСИН России по Пермскому краю, филиал по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Добрянскому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району (по согласованию).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На основании информации ФКУ УИИ оказывает помощь в привлечении к участию в профилактических беседах представителей общественных и религиозных организаций, деятелей культуры и искусства. Оказание помощи в подготовке материалов тематических лекций.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gram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</w:t>
            </w:r>
            <w:proofErr w:type="gram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Отдел по связям с общественностью и СМИ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Мелентьева Е.А.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пункта 1.4. Комплексного плана: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Провести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беседы по разъяснению норм законодательства Российской Федерации, устанавливающих ответственность за участие и содействие террористической деятельности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ОМВД России по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Добрянскому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городскому округу (по согласованию).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Управлением социального развития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образования АДГО.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На основании информации ОМВД организует и проводит работу с детьми из семей лиц, причастных к террористической деятельности. Привлечение к дополнительной творческой, спортивной и внеурочной работе, в том числе под руководством закрепленного педагога, тренера или психолога.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gram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</w:t>
            </w:r>
            <w:proofErr w:type="gram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Управление образования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Кривенко Е.В.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Оказать членам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социальную, психологическую и правовую помощь с привлечением представителей религиозных и общественных организаций, психологов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ФКУ УИИ ГУФСИН России по Пермскому краю, филиал по ДГО (по согласованию);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ТУ по Пермскому и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Добрянскому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районам МСР ПК (по согласованию);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социального развития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Комиссия по делам несовершеннолетних и защите их прав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Участие в составе межведомственной рабочей группы в составе ФКУ УИИ и ОМВД при посещении семей лиц, причастных к террористической деятельности.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Комиссия по делам несовершеннолетних и защите их прав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Ложкина Н.В.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пункта 1.5. Комплексного плана: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gram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Организовать работу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Добрянского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городского округа,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</w:t>
            </w:r>
            <w:proofErr w:type="gram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строя России с привлечением работодателей, представителей религиозных и общественных организаций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 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ОМВД России по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Добрянскому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городскому округу (по согласованию);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ГКУ «Центр занятости населения Пермского края территориальный отдел по городу Добрянке» (по согласованию);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гражданской и антитеррористической защиты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Совместно с ОМВД участие в рейдовых мероприятиях по выявлению фактов нарушений миграционного законодательства. Распространение среди мигрантов буклетов, листовок и брошюр, содержащих информацию об ответственности за совершение преступлений </w:t>
            </w:r>
            <w:proofErr w:type="gram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террористический</w:t>
            </w:r>
            <w:proofErr w:type="gram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направленности, размещение информации на стендах, официальных сайтах, социальных сетях.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gram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</w:t>
            </w:r>
            <w:proofErr w:type="gram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Отдел по связям с общественностью и СМИ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Мелентьева Е.А.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Провести встречи с лидерами и представителями национальных общественных объединений с целью получения информации о негативных процессах, 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lastRenderedPageBreak/>
              <w:t>происходящих в этнической среде, возможных идеологах и радикальных организациях, вовлекающих в совершение правонарушений террористической направленности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lastRenderedPageBreak/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доклад о 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lastRenderedPageBreak/>
              <w:t>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lastRenderedPageBreak/>
              <w:t>Отдел гражданской и антитеррористической защиты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lastRenderedPageBreak/>
              <w:t>Отдел по связям с общественностью и СМИ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Проведение мониторинга состояния межнациональных и межконфессиональных отношений и раннего предупреждения конфликтных ситуаций с использованием модулей Системы: «Темы оперативного наблюдения»; «Темы постоянного наблюдения».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gram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</w:t>
            </w:r>
            <w:proofErr w:type="gram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Отдел по связям с общественностью и СМИ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Мелентьева Е.А.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Задействовать на системной основе межконфессиональные, межнациональные советы и мусульманское духовенство для проведения мониторинга обстановки в миграционной среде, уделив особое внимание местам компактного проживания иностранцев и отправления религиозного культа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гражданской и антитеррористической защиты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Работа в рамках координационного совета по национальным вопросам при главе ДГО.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Отдел по связям с общественностью и СМИ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Мелентьева Е.А.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пункта 1.6. Комплексного плана: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gram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Провести с лицами, прибывающими в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Добрянский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городской округ из стран с повышенной террористической активностью для 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индивидуальные или групповые беседы по доведению норм законодательства, устанавливающих ответственность за участие и содействие террористической деятельности, разжигание социальной, расовой, национальной и религиозной розни</w:t>
            </w:r>
            <w:proofErr w:type="gram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 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color w:val="333333"/>
                <w:sz w:val="13"/>
                <w:lang w:eastAsia="ru-RU"/>
              </w:rPr>
              <w:t>ГБПОУ «ДГТТ им. П. И. Сюзева» 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(по согласованию)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Проведение бесед по доведению норм антитеррористического законодательства со студентами </w:t>
            </w: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ДГТТ им. П.И. Сюзева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ГБПОУ «ДГТТ им. П.И. Сюзева»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Шилов Р.Г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пункта 1.7. Комплексного плана: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Организовать работу по изучению лицами, получившими религиозное образование за рубежом и имеющими намерения заниматься религиозной деятельностью на территории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Добрянский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городской округ,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hyperlink r:id="rId5" w:anchor="_ftn1" w:tooltip="" w:history="1">
              <w:r w:rsidRPr="001B50BA">
                <w:rPr>
                  <w:rFonts w:ascii="Tahoma" w:eastAsia="Times New Roman" w:hAnsi="Tahoma" w:cs="Tahoma"/>
                  <w:color w:val="2C4991"/>
                  <w:sz w:val="13"/>
                  <w:u w:val="single"/>
                  <w:lang w:eastAsia="ru-RU"/>
                </w:rPr>
                <w:t>[1]</w:t>
              </w:r>
            </w:hyperlink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и современной религиозной ситуации в регионе пребывания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 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 2021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гражданской и антитеррористической защиты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При получении уведомления о намерении лица получившего религиозное образование за рубежом заниматься религиозной деятельностью на территории </w:t>
            </w:r>
            <w:proofErr w:type="spell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Добрянский</w:t>
            </w:r>
            <w:proofErr w:type="spell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городской округ организовать с ним работу по изучению норм законодательства Российской Федерации, устанавливающих ответственность за участие и содействие террористической деятельности ответственности за </w:t>
            </w:r>
            <w:proofErr w:type="gram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участие</w:t>
            </w:r>
            <w:proofErr w:type="gram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и содействие террористической деятельности.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Отдел по связям с общественностью и СМИ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Мелентьева Е.А.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пункта 1.8. Комплексного плана: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Провести с молодежью</w:t>
            </w:r>
            <w:hyperlink r:id="rId6" w:anchor="_ftn2" w:tooltip="" w:history="1">
              <w:r w:rsidRPr="001B50BA">
                <w:rPr>
                  <w:rFonts w:ascii="Tahoma" w:eastAsia="Times New Roman" w:hAnsi="Tahoma" w:cs="Tahoma"/>
                  <w:color w:val="2C4991"/>
                  <w:sz w:val="13"/>
                  <w:u w:val="single"/>
                  <w:lang w:eastAsia="ru-RU"/>
                </w:rPr>
                <w:t>[2]</w:t>
              </w:r>
            </w:hyperlink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и подростками профилактические мероприятия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образования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социального развития 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защите прав детей АДГО.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Групповые беседы, классные часы по формированию стойкого неприятия идеологии терроризма и привитию традиционных российских духовно-нравственных ценностей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образования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Кривенко Е.В.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gram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Провести с лицами из числа молодежи, состоящей на профилактическом учете и (или) находящимися под административным надзором в ОМВД России по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Добрянскому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городскому округу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</w:t>
            </w:r>
            <w:proofErr w:type="gram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, общественных и спортивных организаций, психологов.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ОМВД России по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Добрянскому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городскому округу (по согласованию);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социального развития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образования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защите прав детей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Взаимодействие с правоохранительными органами, органами ФСИН проводить профилактические беседы 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с лицами из числа молодежи, состоящей на профилактическом учете и (или) находящимися под административным надзором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Комиссия по делам несовершеннолетних и защите их прав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Ложкина Н.В.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color w:val="333333"/>
                <w:sz w:val="13"/>
                <w:lang w:eastAsia="ru-RU"/>
              </w:rPr>
              <w:t xml:space="preserve">2.Меры по формированию у населения </w:t>
            </w:r>
            <w:proofErr w:type="spellStart"/>
            <w:r w:rsidRPr="001B50BA">
              <w:rPr>
                <w:rFonts w:ascii="Adelle" w:eastAsia="Times New Roman" w:hAnsi="Adelle" w:cs="Tahoma"/>
                <w:b/>
                <w:bCs/>
                <w:color w:val="333333"/>
                <w:sz w:val="13"/>
                <w:lang w:eastAsia="ru-RU"/>
              </w:rPr>
              <w:t>Добрянского</w:t>
            </w:r>
            <w:proofErr w:type="spellEnd"/>
            <w:r w:rsidRPr="001B50BA">
              <w:rPr>
                <w:rFonts w:ascii="Adelle" w:eastAsia="Times New Roman" w:hAnsi="Adelle" w:cs="Tahoma"/>
                <w:b/>
                <w:bCs/>
                <w:color w:val="333333"/>
                <w:sz w:val="13"/>
                <w:lang w:eastAsia="ru-RU"/>
              </w:rPr>
              <w:t xml:space="preserve"> городского округа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  <w:r w:rsidRPr="001B50BA">
              <w:rPr>
                <w:rFonts w:ascii="Adelle" w:eastAsia="Times New Roman" w:hAnsi="Adelle" w:cs="Tahoma"/>
                <w:b/>
                <w:bCs/>
                <w:color w:val="333333"/>
                <w:sz w:val="13"/>
                <w:lang w:eastAsia="ru-RU"/>
              </w:rPr>
              <w:t>антитеррористического сознания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В целях развития у населения, прежде всего, у молодежи, активной гражданской позиции, направленной на неприятие идеологии терроризма: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пункта 2.1. Комплексного плана: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Провести общественно-политические, культурные и спортивные мероприятия, посвященные Дню солидарности в борьбе с терроризмом (3 сентября) с 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спорта, сотрудников правоохранительных органов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с 01.08.2021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по 30.09.2021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ОМВД России по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Добрянскому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городскому округу (по согласованию);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социального развития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образования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гражданской и антитеррористической защиты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38.               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gram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Мероприятия</w:t>
            </w:r>
            <w:proofErr w:type="gram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проводимые в образовательных организациях посвящённые «Дню солидарности борьбы с терроризмом» (по планам образовательных организаций)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30.09.2021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Управление образования 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Кривенко Е.В.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Осветить в муниципальных средствах массой информации</w:t>
            </w:r>
            <w:hyperlink r:id="rId7" w:anchor="_ftn3" w:tooltip="" w:history="1">
              <w:r w:rsidRPr="001B50BA">
                <w:rPr>
                  <w:rFonts w:ascii="Tahoma" w:eastAsia="Times New Roman" w:hAnsi="Tahoma" w:cs="Tahoma"/>
                  <w:color w:val="2C4991"/>
                  <w:sz w:val="13"/>
                  <w:u w:val="single"/>
                  <w:lang w:eastAsia="ru-RU"/>
                </w:rPr>
                <w:t>[3]</w:t>
              </w:r>
            </w:hyperlink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, а также в сети «Интернет» мероприятия, посвященные Дню солидарности в борьбе с терроризмом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с 01.08.2021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по 30.09.2021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40.               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Организовать освещение проводимых мероприятий в </w:t>
            </w:r>
            <w:proofErr w:type="gram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СМИ</w:t>
            </w:r>
            <w:proofErr w:type="gram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в том числе печатных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30.09.2021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Отдел по связям с общественностью и СМИ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Мелентьева Е.А.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В целях снижения уязвимости молодежи от воздействия идеологии терроризма: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подпункта 2.2.1. пункта 2.2. Комплексного плана: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Провести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 традиционных российских духовно-нравственных ценностей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образования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44.               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Просмотр видеофильмов антитеррористического содержания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30.09.2021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Управление образования 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Кривенко Е.В.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45.               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Проведение для детей и молодежи мероприятий, направленных на развитие у них неприятия идеологии терроризма и привития духовно-нравственных ценностей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социального развития</w:t>
            </w: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 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АДГО</w:t>
            </w: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 </w:t>
            </w:r>
            <w:proofErr w:type="spell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Пикулева</w:t>
            </w:r>
            <w:proofErr w:type="spell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Н.А.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Создать информационные ресурсы в сфере профилактики терроризма для обучающихся, молодежных и студенческих общественных объединений, общественных организаций, представляющих интересы детей и молодежи; педагогов, психологов; использовать их при проведении мероприятий по профилактике терроризма и в образовательном процессе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социального развития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образования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Организовать создание специализированных разделов антитеррористической направленности на сайтах подведомственных организаций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образования</w:t>
            </w: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 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Кривенко Е.В.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Привлечь молодежь и студентов образовательных организаций высшего и среднего профессионального образования к участию в мероприятиях по информационному противодействию терроризму в социальных сетях,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блогах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, форумах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color w:val="333333"/>
                <w:sz w:val="13"/>
                <w:lang w:eastAsia="ru-RU"/>
              </w:rPr>
              <w:t>ГБПОУ «ДГТТ им. П. И. Сюзева»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(по согласованию)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49.               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Проведение тематических мероприятий по вопросам предупреждения распространения идеологии терроризма среди молодежи в рамках проведения молодежных форумов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ГБПОУ «ДГТТ им. П.И. Сюзева»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Шилов Р.Г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подпункта 2.2.2. пункта 2.2. КППИТ РФ: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В рамках молодежных форумов организовывать с привлечением лидеров общественного мнения</w:t>
            </w:r>
            <w:hyperlink r:id="rId8" w:anchor="_ftn4" w:tooltip="" w:history="1">
              <w:r w:rsidRPr="001B50BA">
                <w:rPr>
                  <w:rFonts w:ascii="Tahoma" w:eastAsia="Times New Roman" w:hAnsi="Tahoma" w:cs="Tahoma"/>
                  <w:color w:val="2C4991"/>
                  <w:sz w:val="13"/>
                  <w:u w:val="single"/>
                  <w:lang w:eastAsia="ru-RU"/>
                </w:rPr>
                <w:t>[4]</w:t>
              </w:r>
            </w:hyperlink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проведение тематических мероприятий по вопросам предупреждения распространения идеологии терроризма среди молодежи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ГБПОУ «ДГТТ им. П. И. Сюзева» (по согласованию);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социального развития  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образования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52.               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Проведение тематических мероприятий по вопросам предупреждения распространения идеологии терроризма среди молодежи в рамках проведения молодежных форумов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Управление социального развития 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Пикулева</w:t>
            </w:r>
            <w:proofErr w:type="spell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Н.А.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Организовать демонстрацию кинофильмов (видеороликов), выступлений коллективов народного творчества, показ спектаклей, проведение выставок, круглых столов, семинаров по антитеррористической тематике, направленных на духовное и патриотическое воспитание подростков и молодежи,</w:t>
            </w: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 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деловые игры и тренинги с учетом профессиональной ориентации студенческой молодежи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социального развития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образования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lastRenderedPageBreak/>
              <w:t>54.               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Проведение мероприятий, направленных на духовное и патриотическое воспитание подростков и молодежи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Управление социального развития 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Пикулева</w:t>
            </w:r>
            <w:proofErr w:type="spell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Н.А.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подпункта 2.2.3. пункта 2.2. Комплексного плана: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Организовать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 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 Обеспечить поддержку их деятельности в субъектах Российской Федерации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социального развития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образования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ВПК «Витязь»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Привлечение детских общественных объединений к проведению мероприятий по неприятия идеологии терроризма и по привитию традиционных российских духовно-нравственных ценностей.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образования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Кривенко Е.В.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58.               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Организация деятельности ВПК по неприятию идеологии терроризма и привитию духовно-нравственных ценностей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социального развития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Пикулева</w:t>
            </w:r>
            <w:proofErr w:type="spell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Н.А.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подпункта 2.3.2. пункта 2.3. КППИТ РФ: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В целях предотвращения использования религиозного фактора в распространении идеологии терроризма: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Провести встречи (круглые столы, форумы, конференции) с руководителями (представителями) религиозных организаций (групп) по вопросам совершенствования форм и методов профилактической работы по противодействию распространению идеологии терроризма и радикальных религиозных течений среди верующих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В рамках Координационного совета по национальным вопросам провести встречу с руководителями (представителями) религиозных организаций по вопросам противодействия распространения идеологии терроризма и радикальных религиозных течений среди верующих.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Отдел по связям с общественностью и СМИ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Мелентьева Е.А.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пункта 2.4. Комплексного плана: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gram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В целях привлечения институтов гражданского общества к участию в работе по созданию информационных материалов в области</w:t>
            </w:r>
            <w:proofErr w:type="gram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противодействия идеологии терроризма: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Осуществить поддержку творческих проектов антитеррористической направленности, в том числе в рамках реализуемых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грантовых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программ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социального развития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66.               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Субсидирование </w:t>
            </w:r>
            <w:proofErr w:type="spell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социокультурных</w:t>
            </w:r>
            <w:proofErr w:type="spell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проектов антитеррористической направленности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Управление социального развития 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Пикулева</w:t>
            </w:r>
            <w:proofErr w:type="spell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Н.А.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color w:val="333333"/>
                <w:sz w:val="13"/>
                <w:lang w:eastAsia="ru-RU"/>
              </w:rPr>
              <w:t>3. Совершенствование мер информационно-пропагандистского характера и защиты информационного пространства от идеологии терроризма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подпунктов 3.1.1.-3.1.4. пункта 3.1. КППИТ РФ: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3.1.1.Организовать с привлечением лидеров общественного мнения, популярных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блогеров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создание и распространение в региональных и муниципальных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социального развития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ОМВД России по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Добрянскому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городскому округу (по согласованию);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ФКУ УИИ ГУФСИН России по Пермскому краю, филиал по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Добрянскому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району (по согласованию)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Размещение в муниципальных СМИ информационных и методических материалов в области противодействия идеологии терроризма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Отдел по связям с общественностью и СМИ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Мелентьева Е.А.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3.1.2. Обеспечить использование средств наружной рекламы, установленных в местах массового пребывания людей, для доведения до населения информационных материалов (печатных, аудиовизуальных и электронных) в области профилактики терроризма.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gram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</w:t>
            </w:r>
            <w:proofErr w:type="gram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гражданской и антитеррористической защиты АДГО во взаимодействии с ГУ МЧС России по Пермскому краю (при вводе в эксплуатацию системы ОКСИОН)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73.               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Организовать подключение имеющихся в организациях экранов </w:t>
            </w:r>
            <w:proofErr w:type="gram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к</w:t>
            </w:r>
            <w:proofErr w:type="gram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системы ОКСИОН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Отдел гражданской и антитеррористической защиты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Табанова</w:t>
            </w:r>
            <w:proofErr w:type="spell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Л.В.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3.1.4.Обеспечить функционирование на официальных сайтах администрации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Добрянского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городского округа и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подведомственнх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организаций разделов (подразделов), посвященных вопросам противодействия терроризму и его идеологии, а также доступ к данным разделам с главных страниц указанных сайтов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20.06.2020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социального развития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Управление образования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АДГО;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гражданской и антитеррористической защиты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75.               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Организовать обновление разделов антитеррористической направленности имеющихся сайтов с периодичностью 1 раз в месяц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Отдел гражданской и антитеррористической защиты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Пивоваров А.В.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color w:val="333333"/>
                <w:sz w:val="13"/>
                <w:lang w:eastAsia="ru-RU"/>
              </w:rPr>
              <w:t>4. Организационные и иные меры, направленные на повышение результативности деятельности</w:t>
            </w:r>
          </w:p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color w:val="333333"/>
                <w:sz w:val="13"/>
                <w:lang w:eastAsia="ru-RU"/>
              </w:rPr>
              <w:t>субъектов противодействия терроризму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подпункта 4.1.2. пункта 4.1. Комплексного плана: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Обеспечить обобщение информации о потребности в повышении квалификации государственных и 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15.03.2020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гражданской и антитеррористической защиты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80.               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Провести обобщение информации о потребности в повышении квалификации сотрудников участвующих в реализации мероприятий по противодействию идеологии терроризма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15.03.2021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Отдел гражданской и антитеррористической защиты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Табанова</w:t>
            </w:r>
            <w:proofErr w:type="spell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Л.В.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Обеспечить проведение </w:t>
            </w:r>
            <w:proofErr w:type="gram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обучения муниципальных служащих по программе</w:t>
            </w:r>
            <w:proofErr w:type="gram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дополнительного профессионального образования в сфере профилактики 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lastRenderedPageBreak/>
              <w:t>терроризма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lastRenderedPageBreak/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доклад 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lastRenderedPageBreak/>
              <w:t>о промежуточных результатах 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br/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lastRenderedPageBreak/>
              <w:t>Отдел гражданской и антитеррористической защиты АДГО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lastRenderedPageBreak/>
              <w:t>82.               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Организовать участие муниципальных служащих в проводимых обучениях в сфере профилактики терроризма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Отдел гражданской и антитеррористической защиты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Табанова</w:t>
            </w:r>
            <w:proofErr w:type="spell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Л.В.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подпунктов 4.4.2. пункта 4.4. Комплексного плана: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В целях </w:t>
            </w:r>
            <w:proofErr w:type="gram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оценки эффективности деятельности органов государственной власти</w:t>
            </w:r>
            <w:proofErr w:type="gram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в области противодействия идеологии терроризма: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4.4.2. Провести оценку влияния межнациональных и межрелигиозных отношений в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Добрянском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городском округе на ситуацию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br/>
              <w:t>в сфере противодействия идеологии терроризма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br/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Совместно с представителями ОМВД обеспечить анализ информации </w:t>
            </w:r>
            <w:proofErr w:type="gram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</w:t>
            </w:r>
            <w:proofErr w:type="gram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имеющихся случаях конфликтов основанных на межнациональной и межрелигиозной розни, имеющихся фактах </w:t>
            </w:r>
            <w:proofErr w:type="spell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ксенофобных</w:t>
            </w:r>
            <w:proofErr w:type="spell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настроений у жителей городского округа. Провести необходимые мероприятия с целью противодействия идеологии терроризма.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Отдел по связям с общественностью и СМИ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Мелентьева Е.А.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Организовать социологическое исследование по теме: «Оценка населением защищенности от террористических угроз на территории </w:t>
            </w:r>
            <w:proofErr w:type="spell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Добрянского</w:t>
            </w:r>
            <w:proofErr w:type="spell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городского округа»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20.12.2021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Проведение социологического исследования по теме: «Оценка населением защищенности от террористических угроз на территории </w:t>
            </w:r>
            <w:proofErr w:type="spellStart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Добрянского</w:t>
            </w:r>
            <w:proofErr w:type="spellEnd"/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 xml:space="preserve"> городского округа».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gramStart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</w:t>
            </w:r>
            <w:proofErr w:type="gramEnd"/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 </w:t>
            </w: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20.12.2021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Отдел по связям с общественностью и СМИ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Мелентьева Е.А.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Adelle" w:eastAsia="Times New Roman" w:hAnsi="Adelle" w:cs="Tahoma"/>
                <w:b/>
                <w:bCs/>
                <w:i/>
                <w:iCs/>
                <w:color w:val="333333"/>
                <w:sz w:val="13"/>
                <w:lang w:eastAsia="ru-RU"/>
              </w:rPr>
              <w:t>Мероприятия по исполнению подпункта 4.5.1. пункта 4.5. Комплексного плана: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jc w:val="center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В целях совершенствования деятельности и обмена опытом по противодействию идеологии терроризма обеспечить проведение: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4.5.1. Конференций, форумов, семинаров, «круглых столов» и других мероприятий с последующим опубликованием их результатов, в том числе в сети «Интернет»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 15.12.2021,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доклад о промежуточных результатах </w:t>
            </w: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br/>
              <w:t>до 20.06.2021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Отдел по связям с общественностью и СМИ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1B50BA" w:rsidRPr="001B50BA" w:rsidTr="001B50B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FB27C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Проведение «Круглого стола» с участием Координационного совета по национальным вопросам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20.06.2021,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до 15.12.2021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Отдел по связям с общественностью и СМИ АДГО</w:t>
            </w:r>
          </w:p>
          <w:p w:rsidR="001B50BA" w:rsidRPr="001B50BA" w:rsidRDefault="001B50BA" w:rsidP="001B50BA">
            <w:pPr>
              <w:spacing w:after="95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1B50BA">
              <w:rPr>
                <w:rFonts w:ascii="Tahoma" w:eastAsia="Times New Roman" w:hAnsi="Tahoma" w:cs="Tahoma"/>
                <w:i/>
                <w:iCs/>
                <w:color w:val="333333"/>
                <w:sz w:val="13"/>
                <w:lang w:eastAsia="ru-RU"/>
              </w:rPr>
              <w:t>Мелентьева Е.А.</w:t>
            </w:r>
          </w:p>
        </w:tc>
      </w:tr>
    </w:tbl>
    <w:p w:rsidR="00253A67" w:rsidRDefault="001B50BA" w:rsidP="001B50BA">
      <w:pPr>
        <w:shd w:val="clear" w:color="auto" w:fill="FFFFFF"/>
        <w:spacing w:after="95" w:line="240" w:lineRule="auto"/>
        <w:rPr>
          <w:rFonts w:ascii="Tahoma" w:hAnsi="Tahoma" w:cs="Tahoma"/>
          <w:color w:val="333333"/>
          <w:sz w:val="13"/>
          <w:szCs w:val="13"/>
          <w:shd w:val="clear" w:color="auto" w:fill="FFFFFF"/>
        </w:rPr>
      </w:pPr>
      <w:r w:rsidRPr="001B50BA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 </w:t>
      </w:r>
      <w:r>
        <w:rPr>
          <w:rFonts w:ascii="Tahoma" w:hAnsi="Tahoma" w:cs="Tahoma"/>
          <w:color w:val="333333"/>
          <w:sz w:val="13"/>
          <w:szCs w:val="13"/>
          <w:shd w:val="clear" w:color="auto" w:fill="FFFFFF"/>
        </w:rPr>
        <w:t xml:space="preserve">Информацию об исполнении пунктов плана направлять в отдел гражданской и антитеррористической защиты администрации </w:t>
      </w:r>
      <w:proofErr w:type="spellStart"/>
      <w:r>
        <w:rPr>
          <w:rFonts w:ascii="Tahoma" w:hAnsi="Tahoma" w:cs="Tahoma"/>
          <w:color w:val="333333"/>
          <w:sz w:val="13"/>
          <w:szCs w:val="13"/>
          <w:shd w:val="clear" w:color="auto" w:fill="FFFFFF"/>
        </w:rPr>
        <w:t>Добрянского</w:t>
      </w:r>
      <w:proofErr w:type="spellEnd"/>
      <w:r>
        <w:rPr>
          <w:rFonts w:ascii="Tahoma" w:hAnsi="Tahoma" w:cs="Tahoma"/>
          <w:color w:val="333333"/>
          <w:sz w:val="13"/>
          <w:szCs w:val="13"/>
          <w:shd w:val="clear" w:color="auto" w:fill="FFFFFF"/>
        </w:rPr>
        <w:t xml:space="preserve"> городского округа до 18.06.2021г.</w:t>
      </w:r>
    </w:p>
    <w:p w:rsidR="00FB27C6" w:rsidRPr="00FB27C6" w:rsidRDefault="00FB27C6" w:rsidP="00FB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C6" w:rsidRPr="00FB27C6" w:rsidRDefault="00FB27C6" w:rsidP="00FB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noshade="t" o:hr="t" fillcolor="black" stroked="f"/>
        </w:pict>
      </w:r>
    </w:p>
    <w:p w:rsidR="00FB27C6" w:rsidRPr="00FB27C6" w:rsidRDefault="00FB27C6" w:rsidP="00FB27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12"/>
          <w:szCs w:val="24"/>
          <w:lang w:eastAsia="ru-RU"/>
        </w:rPr>
      </w:pPr>
      <w:hyperlink r:id="rId9" w:anchor="_ftnref1" w:tooltip="" w:history="1">
        <w:proofErr w:type="gramStart"/>
        <w:r w:rsidRPr="00FB27C6">
          <w:rPr>
            <w:rFonts w:ascii="Verdana" w:eastAsia="Times New Roman" w:hAnsi="Verdana" w:cs="Times New Roman"/>
            <w:bCs/>
            <w:color w:val="0000FF"/>
            <w:kern w:val="36"/>
            <w:sz w:val="18"/>
            <w:u w:val="single"/>
            <w:vertAlign w:val="superscript"/>
            <w:lang w:eastAsia="ru-RU"/>
          </w:rPr>
          <w:t>[1]</w:t>
        </w:r>
      </w:hyperlink>
      <w:r w:rsidRPr="00FB27C6">
        <w:rPr>
          <w:rFonts w:ascii="Verdana" w:eastAsia="Times New Roman" w:hAnsi="Verdana" w:cs="Times New Roman"/>
          <w:bCs/>
          <w:color w:val="000000"/>
          <w:kern w:val="36"/>
          <w:sz w:val="14"/>
          <w:szCs w:val="24"/>
          <w:vertAlign w:val="superscript"/>
          <w:lang w:eastAsia="ru-RU"/>
        </w:rPr>
        <w:t> </w:t>
      </w:r>
      <w:r w:rsidRPr="00FB27C6">
        <w:rPr>
          <w:rFonts w:ascii="Verdana" w:eastAsia="Times New Roman" w:hAnsi="Verdana" w:cs="Times New Roman"/>
          <w:bCs/>
          <w:color w:val="000000"/>
          <w:kern w:val="36"/>
          <w:sz w:val="12"/>
          <w:szCs w:val="24"/>
          <w:lang w:eastAsia="ru-RU"/>
        </w:rP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РФ (утв. </w:t>
      </w:r>
      <w:hyperlink r:id="rId10" w:anchor="sub_0" w:history="1">
        <w:r w:rsidRPr="00FB27C6">
          <w:rPr>
            <w:rFonts w:ascii="Verdana" w:eastAsia="Times New Roman" w:hAnsi="Verdana" w:cs="Times New Roman"/>
            <w:bCs/>
            <w:color w:val="0000FF"/>
            <w:kern w:val="36"/>
            <w:sz w:val="12"/>
            <w:u w:val="single"/>
            <w:lang w:eastAsia="ru-RU"/>
          </w:rPr>
          <w:t>Указом</w:t>
        </w:r>
      </w:hyperlink>
      <w:r w:rsidRPr="00FB27C6">
        <w:rPr>
          <w:rFonts w:ascii="Verdana" w:eastAsia="Times New Roman" w:hAnsi="Verdana" w:cs="Times New Roman"/>
          <w:bCs/>
          <w:color w:val="000000"/>
          <w:kern w:val="36"/>
          <w:sz w:val="12"/>
          <w:szCs w:val="24"/>
          <w:lang w:eastAsia="ru-RU"/>
        </w:rPr>
        <w:t> Президента Российской Федерации от 31 декабря 2015 г. № 683).</w:t>
      </w:r>
      <w:proofErr w:type="gramEnd"/>
    </w:p>
    <w:p w:rsidR="00FB27C6" w:rsidRPr="00FB27C6" w:rsidRDefault="00FB27C6" w:rsidP="00FB27C6">
      <w:pPr>
        <w:shd w:val="clear" w:color="auto" w:fill="FFFFFF"/>
        <w:spacing w:after="133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hyperlink r:id="rId11" w:anchor="_ftnref2" w:tooltip="" w:history="1">
        <w:r w:rsidRPr="00FB27C6">
          <w:rPr>
            <w:rFonts w:ascii="Verdana" w:eastAsia="Times New Roman" w:hAnsi="Verdana" w:cs="Times New Roman"/>
            <w:color w:val="0000FF"/>
            <w:sz w:val="12"/>
            <w:u w:val="single"/>
            <w:lang w:eastAsia="ru-RU"/>
          </w:rPr>
          <w:t>[2]</w:t>
        </w:r>
      </w:hyperlink>
      <w:r w:rsidRPr="00FB27C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В Комплексном плане к числу молодежи отнесено население России (социальные группы) в возрасте от 14 до 23 лет</w:t>
      </w:r>
    </w:p>
    <w:p w:rsidR="00FB27C6" w:rsidRPr="00FB27C6" w:rsidRDefault="00FB27C6" w:rsidP="00FB27C6">
      <w:pPr>
        <w:shd w:val="clear" w:color="auto" w:fill="FFFFFF"/>
        <w:spacing w:after="133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hyperlink r:id="rId12" w:anchor="_ftnref3" w:tooltip="" w:history="1">
        <w:r w:rsidRPr="00FB27C6">
          <w:rPr>
            <w:rFonts w:ascii="Verdana" w:eastAsia="Times New Roman" w:hAnsi="Verdana" w:cs="Times New Roman"/>
            <w:color w:val="0000FF"/>
            <w:sz w:val="12"/>
            <w:u w:val="single"/>
            <w:lang w:eastAsia="ru-RU"/>
          </w:rPr>
          <w:t>[3]</w:t>
        </w:r>
      </w:hyperlink>
      <w:r w:rsidRPr="00FB27C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Далее - СМИ</w:t>
      </w:r>
    </w:p>
    <w:p w:rsidR="00FB27C6" w:rsidRPr="00FB27C6" w:rsidRDefault="00FB27C6" w:rsidP="00FB27C6">
      <w:pPr>
        <w:shd w:val="clear" w:color="auto" w:fill="FFFFFF"/>
        <w:spacing w:after="133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hyperlink r:id="rId13" w:anchor="_ftnref4" w:tooltip="" w:history="1">
        <w:r w:rsidRPr="00FB27C6">
          <w:rPr>
            <w:rFonts w:ascii="Verdana" w:eastAsia="Times New Roman" w:hAnsi="Verdana" w:cs="Times New Roman"/>
            <w:color w:val="0000FF"/>
            <w:sz w:val="12"/>
            <w:u w:val="single"/>
            <w:lang w:eastAsia="ru-RU"/>
          </w:rPr>
          <w:t>[4]</w:t>
        </w:r>
      </w:hyperlink>
      <w:r w:rsidRPr="00FB27C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В настоящем Комплексном плане под лидерами общественного мнения понимаются лица, оказывающее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  <w:p w:rsidR="00FB27C6" w:rsidRDefault="00FB27C6" w:rsidP="001B50BA">
      <w:pPr>
        <w:shd w:val="clear" w:color="auto" w:fill="FFFFFF"/>
        <w:spacing w:after="95" w:line="240" w:lineRule="auto"/>
      </w:pPr>
    </w:p>
    <w:sectPr w:rsidR="00FB27C6" w:rsidSect="0025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e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B46"/>
    <w:multiLevelType w:val="multilevel"/>
    <w:tmpl w:val="6136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02FE"/>
    <w:multiLevelType w:val="multilevel"/>
    <w:tmpl w:val="07F6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233D4"/>
    <w:multiLevelType w:val="multilevel"/>
    <w:tmpl w:val="27F2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419C1"/>
    <w:multiLevelType w:val="multilevel"/>
    <w:tmpl w:val="66F6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40D99"/>
    <w:multiLevelType w:val="multilevel"/>
    <w:tmpl w:val="9D0E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D504E"/>
    <w:multiLevelType w:val="multilevel"/>
    <w:tmpl w:val="FE04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E4E20"/>
    <w:multiLevelType w:val="multilevel"/>
    <w:tmpl w:val="B540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46F53"/>
    <w:multiLevelType w:val="multilevel"/>
    <w:tmpl w:val="356A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B171BF"/>
    <w:multiLevelType w:val="multilevel"/>
    <w:tmpl w:val="ECEC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8A0B3F"/>
    <w:multiLevelType w:val="multilevel"/>
    <w:tmpl w:val="5402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0A7C7C"/>
    <w:multiLevelType w:val="multilevel"/>
    <w:tmpl w:val="DB6C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3742CC"/>
    <w:multiLevelType w:val="multilevel"/>
    <w:tmpl w:val="987C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842E49"/>
    <w:multiLevelType w:val="multilevel"/>
    <w:tmpl w:val="DAB0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4E3C9D"/>
    <w:multiLevelType w:val="multilevel"/>
    <w:tmpl w:val="2166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3054A"/>
    <w:multiLevelType w:val="multilevel"/>
    <w:tmpl w:val="4678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1F7091"/>
    <w:multiLevelType w:val="multilevel"/>
    <w:tmpl w:val="8ED8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8970AC"/>
    <w:multiLevelType w:val="multilevel"/>
    <w:tmpl w:val="898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933F1D"/>
    <w:multiLevelType w:val="multilevel"/>
    <w:tmpl w:val="F7B2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AB6002"/>
    <w:multiLevelType w:val="multilevel"/>
    <w:tmpl w:val="F21E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6553F9"/>
    <w:multiLevelType w:val="multilevel"/>
    <w:tmpl w:val="60AE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EF50A7"/>
    <w:multiLevelType w:val="multilevel"/>
    <w:tmpl w:val="D79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6B64D5"/>
    <w:multiLevelType w:val="multilevel"/>
    <w:tmpl w:val="0C9A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8866F7"/>
    <w:multiLevelType w:val="multilevel"/>
    <w:tmpl w:val="B9EC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B327D7"/>
    <w:multiLevelType w:val="multilevel"/>
    <w:tmpl w:val="2EA2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7D277B"/>
    <w:multiLevelType w:val="multilevel"/>
    <w:tmpl w:val="88A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3D7C0A"/>
    <w:multiLevelType w:val="multilevel"/>
    <w:tmpl w:val="99A8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1851B3"/>
    <w:multiLevelType w:val="multilevel"/>
    <w:tmpl w:val="1B5E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9573A0"/>
    <w:multiLevelType w:val="multilevel"/>
    <w:tmpl w:val="0BBE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1F0751"/>
    <w:multiLevelType w:val="multilevel"/>
    <w:tmpl w:val="A730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455593"/>
    <w:multiLevelType w:val="multilevel"/>
    <w:tmpl w:val="76A8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E35FA7"/>
    <w:multiLevelType w:val="multilevel"/>
    <w:tmpl w:val="B0A8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623030"/>
    <w:multiLevelType w:val="multilevel"/>
    <w:tmpl w:val="DAE6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B812C0"/>
    <w:multiLevelType w:val="multilevel"/>
    <w:tmpl w:val="2CEA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726136"/>
    <w:multiLevelType w:val="multilevel"/>
    <w:tmpl w:val="2DBE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7A2019"/>
    <w:multiLevelType w:val="multilevel"/>
    <w:tmpl w:val="4B56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D771A6"/>
    <w:multiLevelType w:val="multilevel"/>
    <w:tmpl w:val="6B58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00650B"/>
    <w:multiLevelType w:val="multilevel"/>
    <w:tmpl w:val="5480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0A4C11"/>
    <w:multiLevelType w:val="multilevel"/>
    <w:tmpl w:val="DC0A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EE0005"/>
    <w:multiLevelType w:val="multilevel"/>
    <w:tmpl w:val="DA84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C12E36"/>
    <w:multiLevelType w:val="multilevel"/>
    <w:tmpl w:val="FA90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774D47"/>
    <w:multiLevelType w:val="multilevel"/>
    <w:tmpl w:val="B7C2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F80C97"/>
    <w:multiLevelType w:val="multilevel"/>
    <w:tmpl w:val="3BF4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3C53B9"/>
    <w:multiLevelType w:val="multilevel"/>
    <w:tmpl w:val="4BD0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9853BE"/>
    <w:multiLevelType w:val="multilevel"/>
    <w:tmpl w:val="D56A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66434E"/>
    <w:multiLevelType w:val="multilevel"/>
    <w:tmpl w:val="855E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315FB3"/>
    <w:multiLevelType w:val="multilevel"/>
    <w:tmpl w:val="2AEA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8E123C"/>
    <w:multiLevelType w:val="multilevel"/>
    <w:tmpl w:val="6BB0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6E7818"/>
    <w:multiLevelType w:val="multilevel"/>
    <w:tmpl w:val="EFF6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5C25C4"/>
    <w:multiLevelType w:val="multilevel"/>
    <w:tmpl w:val="313C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A9E53F7"/>
    <w:multiLevelType w:val="multilevel"/>
    <w:tmpl w:val="C3A8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6E7488"/>
    <w:multiLevelType w:val="multilevel"/>
    <w:tmpl w:val="9222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8438C8"/>
    <w:multiLevelType w:val="multilevel"/>
    <w:tmpl w:val="1910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AF0801"/>
    <w:multiLevelType w:val="multilevel"/>
    <w:tmpl w:val="5FA2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071F24"/>
    <w:multiLevelType w:val="multilevel"/>
    <w:tmpl w:val="A1B6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FF5373B"/>
    <w:multiLevelType w:val="multilevel"/>
    <w:tmpl w:val="0102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00B08A2"/>
    <w:multiLevelType w:val="multilevel"/>
    <w:tmpl w:val="AA44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14912DC"/>
    <w:multiLevelType w:val="multilevel"/>
    <w:tmpl w:val="7E3C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1AF7578"/>
    <w:multiLevelType w:val="multilevel"/>
    <w:tmpl w:val="9BCA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A265A6"/>
    <w:multiLevelType w:val="multilevel"/>
    <w:tmpl w:val="AA4E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2C5237F"/>
    <w:multiLevelType w:val="multilevel"/>
    <w:tmpl w:val="EE1A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6955D57"/>
    <w:multiLevelType w:val="multilevel"/>
    <w:tmpl w:val="492A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A66B3C"/>
    <w:multiLevelType w:val="multilevel"/>
    <w:tmpl w:val="5FF8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8661128"/>
    <w:multiLevelType w:val="multilevel"/>
    <w:tmpl w:val="9916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8F73B6A"/>
    <w:multiLevelType w:val="multilevel"/>
    <w:tmpl w:val="1F92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3F2112"/>
    <w:multiLevelType w:val="multilevel"/>
    <w:tmpl w:val="D80C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A97277A"/>
    <w:multiLevelType w:val="multilevel"/>
    <w:tmpl w:val="5A10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C527E6B"/>
    <w:multiLevelType w:val="multilevel"/>
    <w:tmpl w:val="332A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E066839"/>
    <w:multiLevelType w:val="multilevel"/>
    <w:tmpl w:val="4462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F091925"/>
    <w:multiLevelType w:val="multilevel"/>
    <w:tmpl w:val="8E34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F88298B"/>
    <w:multiLevelType w:val="multilevel"/>
    <w:tmpl w:val="D168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5356BD"/>
    <w:multiLevelType w:val="multilevel"/>
    <w:tmpl w:val="C00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4171C4E"/>
    <w:multiLevelType w:val="multilevel"/>
    <w:tmpl w:val="17C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5713A6"/>
    <w:multiLevelType w:val="multilevel"/>
    <w:tmpl w:val="0A32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74D46D8"/>
    <w:multiLevelType w:val="multilevel"/>
    <w:tmpl w:val="299C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7F31682"/>
    <w:multiLevelType w:val="multilevel"/>
    <w:tmpl w:val="52DA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A3537F6"/>
    <w:multiLevelType w:val="multilevel"/>
    <w:tmpl w:val="41E8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FB66728"/>
    <w:multiLevelType w:val="multilevel"/>
    <w:tmpl w:val="78F4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FBB2974"/>
    <w:multiLevelType w:val="multilevel"/>
    <w:tmpl w:val="EF6C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4BD4470"/>
    <w:multiLevelType w:val="multilevel"/>
    <w:tmpl w:val="871C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50927BE"/>
    <w:multiLevelType w:val="multilevel"/>
    <w:tmpl w:val="9D6E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63C1E32"/>
    <w:multiLevelType w:val="multilevel"/>
    <w:tmpl w:val="5804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6CD6785"/>
    <w:multiLevelType w:val="multilevel"/>
    <w:tmpl w:val="30D6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79677D4"/>
    <w:multiLevelType w:val="multilevel"/>
    <w:tmpl w:val="B108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7D15771"/>
    <w:multiLevelType w:val="multilevel"/>
    <w:tmpl w:val="AD00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8B802B9"/>
    <w:multiLevelType w:val="multilevel"/>
    <w:tmpl w:val="437A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8CD2A6F"/>
    <w:multiLevelType w:val="multilevel"/>
    <w:tmpl w:val="42A8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8E134F4"/>
    <w:multiLevelType w:val="multilevel"/>
    <w:tmpl w:val="527A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9C603B3"/>
    <w:multiLevelType w:val="multilevel"/>
    <w:tmpl w:val="568E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D3C4B87"/>
    <w:multiLevelType w:val="multilevel"/>
    <w:tmpl w:val="5C42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EAF40A9"/>
    <w:multiLevelType w:val="multilevel"/>
    <w:tmpl w:val="B52A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7"/>
  </w:num>
  <w:num w:numId="3">
    <w:abstractNumId w:val="79"/>
  </w:num>
  <w:num w:numId="4">
    <w:abstractNumId w:val="41"/>
  </w:num>
  <w:num w:numId="5">
    <w:abstractNumId w:val="38"/>
  </w:num>
  <w:num w:numId="6">
    <w:abstractNumId w:val="86"/>
  </w:num>
  <w:num w:numId="7">
    <w:abstractNumId w:val="55"/>
  </w:num>
  <w:num w:numId="8">
    <w:abstractNumId w:val="84"/>
  </w:num>
  <w:num w:numId="9">
    <w:abstractNumId w:val="36"/>
  </w:num>
  <w:num w:numId="10">
    <w:abstractNumId w:val="32"/>
  </w:num>
  <w:num w:numId="11">
    <w:abstractNumId w:val="9"/>
  </w:num>
  <w:num w:numId="12">
    <w:abstractNumId w:val="46"/>
  </w:num>
  <w:num w:numId="13">
    <w:abstractNumId w:val="77"/>
  </w:num>
  <w:num w:numId="14">
    <w:abstractNumId w:val="56"/>
  </w:num>
  <w:num w:numId="15">
    <w:abstractNumId w:val="25"/>
  </w:num>
  <w:num w:numId="16">
    <w:abstractNumId w:val="7"/>
  </w:num>
  <w:num w:numId="17">
    <w:abstractNumId w:val="42"/>
  </w:num>
  <w:num w:numId="18">
    <w:abstractNumId w:val="70"/>
  </w:num>
  <w:num w:numId="19">
    <w:abstractNumId w:val="11"/>
  </w:num>
  <w:num w:numId="20">
    <w:abstractNumId w:val="44"/>
  </w:num>
  <w:num w:numId="21">
    <w:abstractNumId w:val="13"/>
  </w:num>
  <w:num w:numId="22">
    <w:abstractNumId w:val="83"/>
  </w:num>
  <w:num w:numId="23">
    <w:abstractNumId w:val="6"/>
  </w:num>
  <w:num w:numId="24">
    <w:abstractNumId w:val="12"/>
  </w:num>
  <w:num w:numId="25">
    <w:abstractNumId w:val="54"/>
  </w:num>
  <w:num w:numId="26">
    <w:abstractNumId w:val="51"/>
  </w:num>
  <w:num w:numId="27">
    <w:abstractNumId w:val="85"/>
  </w:num>
  <w:num w:numId="28">
    <w:abstractNumId w:val="30"/>
  </w:num>
  <w:num w:numId="29">
    <w:abstractNumId w:val="26"/>
  </w:num>
  <w:num w:numId="30">
    <w:abstractNumId w:val="39"/>
  </w:num>
  <w:num w:numId="31">
    <w:abstractNumId w:val="29"/>
  </w:num>
  <w:num w:numId="32">
    <w:abstractNumId w:val="10"/>
  </w:num>
  <w:num w:numId="33">
    <w:abstractNumId w:val="43"/>
  </w:num>
  <w:num w:numId="34">
    <w:abstractNumId w:val="81"/>
  </w:num>
  <w:num w:numId="35">
    <w:abstractNumId w:val="31"/>
  </w:num>
  <w:num w:numId="36">
    <w:abstractNumId w:val="24"/>
  </w:num>
  <w:num w:numId="37">
    <w:abstractNumId w:val="60"/>
  </w:num>
  <w:num w:numId="38">
    <w:abstractNumId w:val="21"/>
  </w:num>
  <w:num w:numId="39">
    <w:abstractNumId w:val="27"/>
  </w:num>
  <w:num w:numId="40">
    <w:abstractNumId w:val="47"/>
  </w:num>
  <w:num w:numId="41">
    <w:abstractNumId w:val="61"/>
  </w:num>
  <w:num w:numId="42">
    <w:abstractNumId w:val="49"/>
  </w:num>
  <w:num w:numId="43">
    <w:abstractNumId w:val="28"/>
  </w:num>
  <w:num w:numId="44">
    <w:abstractNumId w:val="34"/>
  </w:num>
  <w:num w:numId="45">
    <w:abstractNumId w:val="73"/>
  </w:num>
  <w:num w:numId="46">
    <w:abstractNumId w:val="52"/>
  </w:num>
  <w:num w:numId="47">
    <w:abstractNumId w:val="78"/>
  </w:num>
  <w:num w:numId="48">
    <w:abstractNumId w:val="8"/>
  </w:num>
  <w:num w:numId="49">
    <w:abstractNumId w:val="3"/>
  </w:num>
  <w:num w:numId="50">
    <w:abstractNumId w:val="62"/>
  </w:num>
  <w:num w:numId="51">
    <w:abstractNumId w:val="89"/>
  </w:num>
  <w:num w:numId="52">
    <w:abstractNumId w:val="0"/>
  </w:num>
  <w:num w:numId="53">
    <w:abstractNumId w:val="87"/>
  </w:num>
  <w:num w:numId="54">
    <w:abstractNumId w:val="48"/>
  </w:num>
  <w:num w:numId="55">
    <w:abstractNumId w:val="76"/>
  </w:num>
  <w:num w:numId="56">
    <w:abstractNumId w:val="15"/>
  </w:num>
  <w:num w:numId="57">
    <w:abstractNumId w:val="45"/>
  </w:num>
  <w:num w:numId="58">
    <w:abstractNumId w:val="22"/>
  </w:num>
  <w:num w:numId="59">
    <w:abstractNumId w:val="40"/>
  </w:num>
  <w:num w:numId="60">
    <w:abstractNumId w:val="20"/>
  </w:num>
  <w:num w:numId="61">
    <w:abstractNumId w:val="75"/>
  </w:num>
  <w:num w:numId="62">
    <w:abstractNumId w:val="71"/>
  </w:num>
  <w:num w:numId="63">
    <w:abstractNumId w:val="88"/>
  </w:num>
  <w:num w:numId="64">
    <w:abstractNumId w:val="57"/>
  </w:num>
  <w:num w:numId="65">
    <w:abstractNumId w:val="17"/>
  </w:num>
  <w:num w:numId="66">
    <w:abstractNumId w:val="72"/>
  </w:num>
  <w:num w:numId="67">
    <w:abstractNumId w:val="66"/>
  </w:num>
  <w:num w:numId="68">
    <w:abstractNumId w:val="82"/>
  </w:num>
  <w:num w:numId="69">
    <w:abstractNumId w:val="68"/>
  </w:num>
  <w:num w:numId="70">
    <w:abstractNumId w:val="58"/>
  </w:num>
  <w:num w:numId="71">
    <w:abstractNumId w:val="5"/>
  </w:num>
  <w:num w:numId="72">
    <w:abstractNumId w:val="1"/>
  </w:num>
  <w:num w:numId="73">
    <w:abstractNumId w:val="65"/>
  </w:num>
  <w:num w:numId="74">
    <w:abstractNumId w:val="35"/>
  </w:num>
  <w:num w:numId="75">
    <w:abstractNumId w:val="14"/>
  </w:num>
  <w:num w:numId="76">
    <w:abstractNumId w:val="23"/>
  </w:num>
  <w:num w:numId="77">
    <w:abstractNumId w:val="80"/>
  </w:num>
  <w:num w:numId="78">
    <w:abstractNumId w:val="37"/>
  </w:num>
  <w:num w:numId="79">
    <w:abstractNumId w:val="74"/>
  </w:num>
  <w:num w:numId="80">
    <w:abstractNumId w:val="18"/>
  </w:num>
  <w:num w:numId="81">
    <w:abstractNumId w:val="33"/>
  </w:num>
  <w:num w:numId="82">
    <w:abstractNumId w:val="63"/>
  </w:num>
  <w:num w:numId="83">
    <w:abstractNumId w:val="4"/>
  </w:num>
  <w:num w:numId="84">
    <w:abstractNumId w:val="69"/>
  </w:num>
  <w:num w:numId="85">
    <w:abstractNumId w:val="50"/>
  </w:num>
  <w:num w:numId="86">
    <w:abstractNumId w:val="59"/>
  </w:num>
  <w:num w:numId="87">
    <w:abstractNumId w:val="53"/>
  </w:num>
  <w:num w:numId="88">
    <w:abstractNumId w:val="19"/>
  </w:num>
  <w:num w:numId="89">
    <w:abstractNumId w:val="64"/>
  </w:num>
  <w:num w:numId="90">
    <w:abstractNumId w:val="2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B50BA"/>
    <w:rsid w:val="001B50BA"/>
    <w:rsid w:val="00253A67"/>
    <w:rsid w:val="00FB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67"/>
  </w:style>
  <w:style w:type="paragraph" w:styleId="1">
    <w:name w:val="heading 1"/>
    <w:basedOn w:val="a"/>
    <w:link w:val="10"/>
    <w:uiPriority w:val="9"/>
    <w:qFormat/>
    <w:rsid w:val="00FB2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word"/>
    <w:basedOn w:val="a"/>
    <w:rsid w:val="001B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50BA"/>
    <w:rPr>
      <w:b/>
      <w:bCs/>
    </w:rPr>
  </w:style>
  <w:style w:type="paragraph" w:styleId="a4">
    <w:name w:val="Normal (Web)"/>
    <w:basedOn w:val="a"/>
    <w:uiPriority w:val="99"/>
    <w:unhideWhenUsed/>
    <w:rsid w:val="001B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50BA"/>
    <w:rPr>
      <w:i/>
      <w:iCs/>
    </w:rPr>
  </w:style>
  <w:style w:type="paragraph" w:customStyle="1" w:styleId="8b26b2f09169aba3msobodytext2">
    <w:name w:val="8b26b2f09169aba3msobodytext2"/>
    <w:basedOn w:val="a"/>
    <w:rsid w:val="001B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50BA"/>
    <w:rPr>
      <w:color w:val="0000FF"/>
      <w:u w:val="single"/>
    </w:rPr>
  </w:style>
  <w:style w:type="paragraph" w:customStyle="1" w:styleId="style15">
    <w:name w:val="style15"/>
    <w:basedOn w:val="a"/>
    <w:rsid w:val="001B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1B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%D0%BA%D0%BE%D0%BC%D0%BF%D0%BB%D0%B5%D0%BA%D1%81%D0%BD%D1%8B%D0%B9%20%D0%BF%D0%BB%D0%B0%D0%BD%20%D0%9A%D0%9F%D0%9F%D0%98%D0%A2%202021%20%D0%94%D0%BE%D0%B1%D1%80.doc" TargetMode="External"/><Relationship Id="rId13" Type="http://schemas.openxmlformats.org/officeDocument/2006/relationships/hyperlink" Target="file:///C:\Users\User\Desktop\%D0%BA%D0%BE%D0%BC%D0%BF%D0%BB%D0%B5%D0%BA%D1%81%D0%BD%D1%8B%D0%B9%20%D0%BF%D0%BB%D0%B0%D0%BD%20%D0%9A%D0%9F%D0%9F%D0%98%D0%A2%202021%20%D0%94%D0%BE%D0%B1%D1%8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%D0%BA%D0%BE%D0%BC%D0%BF%D0%BB%D0%B5%D0%BA%D1%81%D0%BD%D1%8B%D0%B9%20%D0%BF%D0%BB%D0%B0%D0%BD%20%D0%9A%D0%9F%D0%9F%D0%98%D0%A2%202021%20%D0%94%D0%BE%D0%B1%D1%80.doc" TargetMode="External"/><Relationship Id="rId12" Type="http://schemas.openxmlformats.org/officeDocument/2006/relationships/hyperlink" Target="file:///C:\Users\User\Desktop\%D0%BA%D0%BE%D0%BC%D0%BF%D0%BB%D0%B5%D0%BA%D1%81%D0%BD%D1%8B%D0%B9%20%D0%BF%D0%BB%D0%B0%D0%BD%20%D0%9A%D0%9F%D0%9F%D0%98%D0%A2%202021%20%D0%94%D0%BE%D0%B1%D1%8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%D0%BA%D0%BE%D0%BC%D0%BF%D0%BB%D0%B5%D0%BA%D1%81%D0%BD%D1%8B%D0%B9%20%D0%BF%D0%BB%D0%B0%D0%BD%20%D0%9A%D0%9F%D0%9F%D0%98%D0%A2%202021%20%D0%94%D0%BE%D0%B1%D1%80.doc" TargetMode="External"/><Relationship Id="rId11" Type="http://schemas.openxmlformats.org/officeDocument/2006/relationships/hyperlink" Target="file:///C:\Users\User\Desktop\%D0%BA%D0%BE%D0%BC%D0%BF%D0%BB%D0%B5%D0%BA%D1%81%D0%BD%D1%8B%D0%B9%20%D0%BF%D0%BB%D0%B0%D0%BD%20%D0%9A%D0%9F%D0%9F%D0%98%D0%A2%202021%20%D0%94%D0%BE%D0%B1%D1%80.doc" TargetMode="External"/><Relationship Id="rId5" Type="http://schemas.openxmlformats.org/officeDocument/2006/relationships/hyperlink" Target="file:///C:\Users\User\Desktop\%D0%BA%D0%BE%D0%BC%D0%BF%D0%BB%D0%B5%D0%BA%D1%81%D0%BD%D1%8B%D0%B9%20%D0%BF%D0%BB%D0%B0%D0%BD%20%D0%9A%D0%9F%D0%9F%D0%98%D0%A2%202021%20%D0%94%D0%BE%D0%B1%D1%80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%D0%BA%D0%BE%D0%BC%D0%BF%D0%BB%D0%B5%D0%BA%D1%81%D0%BD%D1%8B%D0%B9%20%D0%BF%D0%BB%D0%B0%D0%BD%20%D0%9A%D0%9F%D0%9F%D0%98%D0%A2%202021%20%D0%94%D0%BE%D0%B1%D1%8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%D0%BA%D0%BE%D0%BC%D0%BF%D0%BB%D0%B5%D0%BA%D1%81%D0%BD%D1%8B%D0%B9%20%D0%BF%D0%BB%D0%B0%D0%BD%20%D0%9A%D0%9F%D0%9F%D0%98%D0%A2%202021%20%D0%94%D0%BE%D0%B1%D1%8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4449</Words>
  <Characters>25361</Characters>
  <Application>Microsoft Office Word</Application>
  <DocSecurity>0</DocSecurity>
  <Lines>211</Lines>
  <Paragraphs>59</Paragraphs>
  <ScaleCrop>false</ScaleCrop>
  <Company>Microsoft</Company>
  <LinksUpToDate>false</LinksUpToDate>
  <CharactersWithSpaces>29751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2021-07-13T18:38:00Z</dcterms:created>
  <dcterms:modified xsi:type="dcterms:W3CDTF">2021-07-13T18:43:00Z</dcterms:modified>
</cp:coreProperties>
</file>